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E7" w:rsidRDefault="007C58E7" w:rsidP="005E02BE">
      <w:pPr>
        <w:jc w:val="center"/>
      </w:pPr>
    </w:p>
    <w:p w:rsidR="005E02BE" w:rsidRPr="005E02BE" w:rsidRDefault="005E02BE" w:rsidP="005E02BE">
      <w:pPr>
        <w:jc w:val="center"/>
        <w:rPr>
          <w:sz w:val="8"/>
        </w:rPr>
      </w:pPr>
      <w:r w:rsidRPr="005E02BE">
        <w:rPr>
          <w:noProof/>
          <w:sz w:val="8"/>
          <w:lang w:eastAsia="hr-HR"/>
        </w:rPr>
        <w:drawing>
          <wp:inline distT="0" distB="0" distL="0" distR="0">
            <wp:extent cx="2551865" cy="1685677"/>
            <wp:effectExtent l="19050" t="0" r="8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98" cy="168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249" w:rsidRPr="007E33E7" w:rsidRDefault="00AA5249" w:rsidP="00AA5249">
      <w:pPr>
        <w:spacing w:after="0" w:line="240" w:lineRule="atLeast"/>
        <w:jc w:val="center"/>
        <w:outlineLvl w:val="5"/>
        <w:rPr>
          <w:rFonts w:eastAsia="Times New Roman" w:cs="Times New Roman"/>
          <w:b/>
          <w:bCs/>
          <w:color w:val="000000" w:themeColor="text1"/>
          <w:sz w:val="44"/>
          <w:szCs w:val="52"/>
          <w:lang w:eastAsia="hr-HR"/>
        </w:rPr>
      </w:pPr>
      <w:r w:rsidRPr="007E33E7">
        <w:rPr>
          <w:rFonts w:eastAsia="Times New Roman" w:cs="Times New Roman"/>
          <w:b/>
          <w:bCs/>
          <w:color w:val="000000" w:themeColor="text1"/>
          <w:sz w:val="44"/>
          <w:szCs w:val="52"/>
          <w:lang w:eastAsia="hr-HR"/>
        </w:rPr>
        <w:t>O B A V I J E S T</w:t>
      </w:r>
    </w:p>
    <w:p w:rsidR="00AA5249" w:rsidRPr="007E33E7" w:rsidRDefault="00AA5249" w:rsidP="00AA5249">
      <w:pPr>
        <w:spacing w:after="0" w:line="240" w:lineRule="atLeast"/>
        <w:jc w:val="center"/>
        <w:outlineLvl w:val="5"/>
        <w:rPr>
          <w:rFonts w:eastAsia="Times New Roman" w:cs="Times New Roman"/>
          <w:b/>
          <w:bCs/>
          <w:color w:val="000000" w:themeColor="text1"/>
          <w:sz w:val="24"/>
          <w:szCs w:val="36"/>
          <w:lang w:eastAsia="hr-HR"/>
        </w:rPr>
      </w:pPr>
      <w:r w:rsidRPr="007E33E7">
        <w:rPr>
          <w:rFonts w:eastAsia="Times New Roman" w:cs="Times New Roman"/>
          <w:b/>
          <w:bCs/>
          <w:color w:val="000000" w:themeColor="text1"/>
          <w:sz w:val="24"/>
          <w:szCs w:val="36"/>
          <w:lang w:eastAsia="hr-HR"/>
        </w:rPr>
        <w:t xml:space="preserve">O NOVOM RASPOREDU ODVOZA KOMUNALNOG OTPADA </w:t>
      </w:r>
    </w:p>
    <w:p w:rsidR="00AA5249" w:rsidRPr="007E33E7" w:rsidRDefault="00AA5249" w:rsidP="00AA5249">
      <w:pPr>
        <w:spacing w:after="0" w:line="240" w:lineRule="atLeast"/>
        <w:jc w:val="center"/>
        <w:outlineLvl w:val="5"/>
        <w:rPr>
          <w:rFonts w:eastAsia="Times New Roman" w:cs="Times New Roman"/>
          <w:b/>
          <w:bCs/>
          <w:color w:val="000000" w:themeColor="text1"/>
          <w:sz w:val="24"/>
          <w:szCs w:val="36"/>
          <w:lang w:eastAsia="hr-HR"/>
        </w:rPr>
      </w:pPr>
      <w:r w:rsidRPr="007E33E7">
        <w:rPr>
          <w:rFonts w:eastAsia="Times New Roman" w:cs="Times New Roman"/>
          <w:b/>
          <w:bCs/>
          <w:color w:val="000000" w:themeColor="text1"/>
          <w:sz w:val="24"/>
          <w:szCs w:val="36"/>
          <w:lang w:eastAsia="hr-HR"/>
        </w:rPr>
        <w:t>SA PODRUČJA OPĆINE NETRETIĆ</w:t>
      </w:r>
    </w:p>
    <w:p w:rsidR="00C6325C" w:rsidRDefault="00C6325C">
      <w:pPr>
        <w:rPr>
          <w:sz w:val="8"/>
        </w:rPr>
      </w:pPr>
    </w:p>
    <w:p w:rsidR="005E02BE" w:rsidRPr="007E33E7" w:rsidRDefault="005E02BE">
      <w:pPr>
        <w:rPr>
          <w:sz w:val="8"/>
        </w:rPr>
      </w:pPr>
    </w:p>
    <w:p w:rsidR="008F46B6" w:rsidRDefault="008F46B6" w:rsidP="007C58E7">
      <w:pPr>
        <w:spacing w:after="0" w:line="200" w:lineRule="atLeast"/>
        <w:rPr>
          <w:sz w:val="18"/>
        </w:rPr>
      </w:pPr>
      <w:r w:rsidRPr="00FB7D35">
        <w:rPr>
          <w:sz w:val="18"/>
        </w:rPr>
        <w:t>Poštovani korisnici sa područja Općine Netretić,</w:t>
      </w:r>
    </w:p>
    <w:p w:rsidR="007C58E7" w:rsidRPr="00FB7D35" w:rsidRDefault="007C58E7" w:rsidP="007C58E7">
      <w:pPr>
        <w:spacing w:after="0" w:line="200" w:lineRule="atLeast"/>
        <w:rPr>
          <w:sz w:val="18"/>
        </w:rPr>
      </w:pPr>
    </w:p>
    <w:p w:rsidR="0050403C" w:rsidRPr="00FB7D35" w:rsidRDefault="00C6325C" w:rsidP="007C58E7">
      <w:pPr>
        <w:spacing w:after="0" w:line="200" w:lineRule="atLeast"/>
        <w:jc w:val="both"/>
        <w:rPr>
          <w:sz w:val="18"/>
        </w:rPr>
      </w:pPr>
      <w:r w:rsidRPr="00FB7D35">
        <w:rPr>
          <w:sz w:val="18"/>
        </w:rPr>
        <w:t>Ovim putem obavještavam</w:t>
      </w:r>
      <w:r w:rsidR="00755DAB">
        <w:rPr>
          <w:sz w:val="18"/>
        </w:rPr>
        <w:t>o</w:t>
      </w:r>
      <w:r w:rsidRPr="00FB7D35">
        <w:rPr>
          <w:sz w:val="18"/>
        </w:rPr>
        <w:t xml:space="preserve"> </w:t>
      </w:r>
      <w:r w:rsidR="008F46B6" w:rsidRPr="00FB7D35">
        <w:rPr>
          <w:sz w:val="18"/>
        </w:rPr>
        <w:t xml:space="preserve">vas da će se odvoz komunalnog otpada </w:t>
      </w:r>
      <w:r w:rsidR="008F46B6" w:rsidRPr="00FB7D35">
        <w:rPr>
          <w:b/>
          <w:sz w:val="20"/>
        </w:rPr>
        <w:t>od 08./2014. nadalje obavljati</w:t>
      </w:r>
      <w:r w:rsidR="008F46B6" w:rsidRPr="00FB7D35">
        <w:rPr>
          <w:b/>
          <w:sz w:val="20"/>
          <w:u w:val="single"/>
        </w:rPr>
        <w:t xml:space="preserve"> SVAKI DRUGI TJEDAN</w:t>
      </w:r>
      <w:r w:rsidR="00944F77">
        <w:rPr>
          <w:b/>
          <w:sz w:val="20"/>
          <w:u w:val="single"/>
        </w:rPr>
        <w:t>.</w:t>
      </w:r>
      <w:r w:rsidR="008F46B6" w:rsidRPr="00755DAB">
        <w:rPr>
          <w:sz w:val="18"/>
        </w:rPr>
        <w:t xml:space="preserve"> </w:t>
      </w:r>
    </w:p>
    <w:p w:rsidR="008F46B6" w:rsidRPr="007C58E7" w:rsidRDefault="008F46B6" w:rsidP="007C58E7">
      <w:pPr>
        <w:spacing w:after="0" w:line="200" w:lineRule="atLeast"/>
        <w:jc w:val="both"/>
        <w:rPr>
          <w:sz w:val="8"/>
        </w:rPr>
      </w:pPr>
    </w:p>
    <w:p w:rsidR="008F46B6" w:rsidRPr="00FB7D35" w:rsidRDefault="008F46B6" w:rsidP="007C58E7">
      <w:pPr>
        <w:spacing w:after="0" w:line="200" w:lineRule="atLeast"/>
        <w:jc w:val="both"/>
        <w:rPr>
          <w:sz w:val="18"/>
        </w:rPr>
      </w:pPr>
      <w:r w:rsidRPr="00FB7D35">
        <w:rPr>
          <w:sz w:val="18"/>
        </w:rPr>
        <w:t xml:space="preserve">Ujedno vas obavještavamo da će se od naprijed navedenog perioda primjenjivati nove cijene odvoza i zbrinjavanja komunalnog otpada prema sljedećem: </w:t>
      </w:r>
    </w:p>
    <w:p w:rsidR="00C6325C" w:rsidRPr="00C6325C" w:rsidRDefault="00C6325C" w:rsidP="00C6325C">
      <w:pPr>
        <w:spacing w:after="0" w:line="240" w:lineRule="atLeast"/>
        <w:jc w:val="both"/>
        <w:rPr>
          <w:sz w:val="6"/>
        </w:rPr>
      </w:pPr>
    </w:p>
    <w:tbl>
      <w:tblPr>
        <w:tblW w:w="0" w:type="auto"/>
        <w:jc w:val="center"/>
        <w:tblCellSpacing w:w="1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5517"/>
        <w:gridCol w:w="1843"/>
      </w:tblGrid>
      <w:tr w:rsidR="008F46B6" w:rsidRPr="00A56105" w:rsidTr="007E33E7">
        <w:trPr>
          <w:trHeight w:val="595"/>
          <w:tblCellSpacing w:w="15" w:type="dxa"/>
          <w:jc w:val="center"/>
        </w:trPr>
        <w:tc>
          <w:tcPr>
            <w:tcW w:w="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8F46B6" w:rsidP="00006261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>Red. br.</w:t>
            </w:r>
          </w:p>
        </w:tc>
        <w:tc>
          <w:tcPr>
            <w:tcW w:w="54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8F46B6" w:rsidP="00006261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>Kategorija korisnika /vrsta usluge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8F46B6" w:rsidP="00006261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 xml:space="preserve">Cijena </w:t>
            </w:r>
          </w:p>
        </w:tc>
      </w:tr>
      <w:tr w:rsidR="008F46B6" w:rsidRPr="00A56105" w:rsidTr="007E33E7">
        <w:trPr>
          <w:tblCellSpacing w:w="15" w:type="dxa"/>
          <w:jc w:val="center"/>
        </w:trPr>
        <w:tc>
          <w:tcPr>
            <w:tcW w:w="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8F46B6" w:rsidP="00006261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>1.</w:t>
            </w:r>
          </w:p>
        </w:tc>
        <w:tc>
          <w:tcPr>
            <w:tcW w:w="54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567F05" w:rsidP="004E51BD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 w:rsidRPr="00AA5249">
              <w:rPr>
                <w:b/>
                <w:sz w:val="18"/>
                <w:szCs w:val="20"/>
              </w:rPr>
              <w:t>-</w:t>
            </w:r>
            <w:r w:rsidRPr="00AA5249">
              <w:rPr>
                <w:sz w:val="18"/>
                <w:szCs w:val="20"/>
              </w:rPr>
              <w:t xml:space="preserve"> </w:t>
            </w:r>
            <w:r w:rsidRPr="00AA5249">
              <w:rPr>
                <w:b/>
                <w:sz w:val="18"/>
                <w:szCs w:val="20"/>
              </w:rPr>
              <w:t>staračka i samačka domaćinstva</w:t>
            </w:r>
            <w:r w:rsidRPr="00AA5249">
              <w:rPr>
                <w:sz w:val="18"/>
                <w:szCs w:val="20"/>
              </w:rPr>
              <w:t xml:space="preserve">   - posuda 120 litara                        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567F05" w:rsidP="004E51BD">
            <w:pPr>
              <w:spacing w:after="0" w:line="240" w:lineRule="atLeast"/>
              <w:jc w:val="center"/>
              <w:rPr>
                <w:rFonts w:eastAsiaTheme="minorEastAsia"/>
                <w:sz w:val="18"/>
                <w:szCs w:val="20"/>
                <w:lang w:eastAsia="hr-HR"/>
              </w:rPr>
            </w:pP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>55,25</w:t>
            </w:r>
            <w:r w:rsidR="008F46B6"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kn</w:t>
            </w:r>
          </w:p>
        </w:tc>
      </w:tr>
      <w:tr w:rsidR="008F46B6" w:rsidRPr="00A56105" w:rsidTr="007E33E7">
        <w:trPr>
          <w:tblCellSpacing w:w="15" w:type="dxa"/>
          <w:jc w:val="center"/>
        </w:trPr>
        <w:tc>
          <w:tcPr>
            <w:tcW w:w="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C6325C" w:rsidP="00006261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>2</w:t>
            </w:r>
            <w:r w:rsidR="008F46B6" w:rsidRPr="00AA5249">
              <w:rPr>
                <w:sz w:val="18"/>
                <w:szCs w:val="20"/>
              </w:rPr>
              <w:t>.</w:t>
            </w:r>
          </w:p>
        </w:tc>
        <w:tc>
          <w:tcPr>
            <w:tcW w:w="54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4E51BD" w:rsidP="00006261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- </w:t>
            </w:r>
            <w:r w:rsidR="008F46B6" w:rsidRPr="00AA5249">
              <w:rPr>
                <w:b/>
                <w:sz w:val="18"/>
                <w:szCs w:val="20"/>
              </w:rPr>
              <w:t>domaćinstva</w:t>
            </w:r>
            <w:r>
              <w:rPr>
                <w:b/>
                <w:sz w:val="18"/>
                <w:szCs w:val="20"/>
              </w:rPr>
              <w:t xml:space="preserve"> (2 člana)</w:t>
            </w:r>
            <w:r w:rsidR="008F46B6" w:rsidRPr="00AA5249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            </w:t>
            </w:r>
            <w:r w:rsidR="008F46B6" w:rsidRPr="00AA5249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- posuda 120</w:t>
            </w:r>
            <w:r w:rsidR="008F46B6" w:rsidRPr="00AA5249">
              <w:rPr>
                <w:sz w:val="18"/>
                <w:szCs w:val="20"/>
              </w:rPr>
              <w:t xml:space="preserve"> litara                    </w:t>
            </w:r>
          </w:p>
          <w:p w:rsidR="008F46B6" w:rsidRPr="00AA5249" w:rsidRDefault="004E51BD" w:rsidP="004E51BD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 w:rsidRPr="004E51BD">
              <w:rPr>
                <w:b/>
                <w:sz w:val="18"/>
                <w:szCs w:val="20"/>
              </w:rPr>
              <w:t xml:space="preserve">- </w:t>
            </w:r>
            <w:r w:rsidRPr="004E51BD">
              <w:rPr>
                <w:b/>
                <w:sz w:val="18"/>
                <w:szCs w:val="18"/>
              </w:rPr>
              <w:t>domaćinstva (tri i više članova)</w:t>
            </w:r>
            <w:r w:rsidRPr="00AA5249">
              <w:rPr>
                <w:sz w:val="18"/>
                <w:szCs w:val="20"/>
              </w:rPr>
              <w:t xml:space="preserve">   </w:t>
            </w:r>
            <w:r>
              <w:rPr>
                <w:sz w:val="18"/>
                <w:szCs w:val="20"/>
              </w:rPr>
              <w:t xml:space="preserve"> </w:t>
            </w:r>
            <w:r w:rsidR="00567F05" w:rsidRPr="00AA5249">
              <w:rPr>
                <w:sz w:val="18"/>
                <w:szCs w:val="20"/>
              </w:rPr>
              <w:t xml:space="preserve"> </w:t>
            </w:r>
            <w:r w:rsidR="008F46B6" w:rsidRPr="00AA5249">
              <w:rPr>
                <w:sz w:val="18"/>
                <w:szCs w:val="20"/>
              </w:rPr>
              <w:t xml:space="preserve">- </w:t>
            </w:r>
            <w:r>
              <w:rPr>
                <w:sz w:val="18"/>
                <w:szCs w:val="20"/>
              </w:rPr>
              <w:t>posuda 240 litara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567F05" w:rsidP="00006261">
            <w:pPr>
              <w:spacing w:after="0" w:line="240" w:lineRule="atLeast"/>
              <w:jc w:val="center"/>
              <w:rPr>
                <w:rFonts w:eastAsiaTheme="minorEastAsia"/>
                <w:sz w:val="18"/>
                <w:szCs w:val="20"/>
                <w:lang w:eastAsia="hr-HR"/>
              </w:rPr>
            </w:pP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70,63 </w:t>
            </w:r>
            <w:r w:rsidR="008F46B6" w:rsidRPr="00AA5249">
              <w:rPr>
                <w:rFonts w:eastAsiaTheme="minorEastAsia"/>
                <w:sz w:val="18"/>
                <w:szCs w:val="20"/>
                <w:lang w:eastAsia="hr-HR"/>
              </w:rPr>
              <w:t>kn</w:t>
            </w:r>
          </w:p>
          <w:p w:rsidR="008F46B6" w:rsidRPr="00AA5249" w:rsidRDefault="00567F05" w:rsidP="00006261">
            <w:pPr>
              <w:spacing w:after="0" w:line="240" w:lineRule="atLeast"/>
              <w:jc w:val="center"/>
              <w:rPr>
                <w:rFonts w:eastAsiaTheme="minorEastAsia"/>
                <w:sz w:val="18"/>
                <w:szCs w:val="20"/>
                <w:lang w:eastAsia="hr-HR"/>
              </w:rPr>
            </w:pP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>70,63</w:t>
            </w:r>
            <w:r w:rsidR="008F46B6"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kn</w:t>
            </w:r>
          </w:p>
        </w:tc>
      </w:tr>
      <w:tr w:rsidR="008F46B6" w:rsidRPr="00A56105" w:rsidTr="007E33E7">
        <w:trPr>
          <w:tblCellSpacing w:w="15" w:type="dxa"/>
          <w:jc w:val="center"/>
        </w:trPr>
        <w:tc>
          <w:tcPr>
            <w:tcW w:w="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C6325C" w:rsidP="00006261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>3</w:t>
            </w:r>
            <w:r w:rsidR="008F46B6" w:rsidRPr="00AA5249">
              <w:rPr>
                <w:sz w:val="18"/>
                <w:szCs w:val="20"/>
              </w:rPr>
              <w:t>.</w:t>
            </w:r>
          </w:p>
        </w:tc>
        <w:tc>
          <w:tcPr>
            <w:tcW w:w="54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8F46B6" w:rsidP="004E51BD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 w:rsidRPr="00AA5249">
              <w:rPr>
                <w:b/>
                <w:sz w:val="18"/>
                <w:szCs w:val="20"/>
              </w:rPr>
              <w:t>- vikendaši</w:t>
            </w:r>
            <w:r w:rsidRPr="00AA5249">
              <w:rPr>
                <w:sz w:val="18"/>
                <w:szCs w:val="20"/>
              </w:rPr>
              <w:t xml:space="preserve">              </w:t>
            </w:r>
            <w:r w:rsidR="004E51BD">
              <w:rPr>
                <w:sz w:val="18"/>
                <w:szCs w:val="20"/>
              </w:rPr>
              <w:t xml:space="preserve">                  </w:t>
            </w:r>
            <w:r w:rsidRPr="00AA5249">
              <w:rPr>
                <w:sz w:val="18"/>
                <w:szCs w:val="20"/>
              </w:rPr>
              <w:t xml:space="preserve">            - posuda 120 litara                      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8F46B6" w:rsidP="004E51BD">
            <w:pPr>
              <w:spacing w:after="0" w:line="240" w:lineRule="atLeast"/>
              <w:jc w:val="center"/>
              <w:rPr>
                <w:rFonts w:eastAsiaTheme="minorEastAsia"/>
                <w:sz w:val="18"/>
                <w:szCs w:val="20"/>
                <w:lang w:eastAsia="hr-HR"/>
              </w:rPr>
            </w:pP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>35,31 kn</w:t>
            </w:r>
          </w:p>
        </w:tc>
      </w:tr>
      <w:tr w:rsidR="008F46B6" w:rsidRPr="00A56105" w:rsidTr="007E33E7">
        <w:trPr>
          <w:tblCellSpacing w:w="15" w:type="dxa"/>
          <w:jc w:val="center"/>
        </w:trPr>
        <w:tc>
          <w:tcPr>
            <w:tcW w:w="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C6325C" w:rsidP="00006261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>4</w:t>
            </w:r>
            <w:r w:rsidR="008F46B6" w:rsidRPr="00AA5249">
              <w:rPr>
                <w:sz w:val="18"/>
                <w:szCs w:val="20"/>
              </w:rPr>
              <w:t>.</w:t>
            </w:r>
          </w:p>
        </w:tc>
        <w:tc>
          <w:tcPr>
            <w:tcW w:w="54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8F46B6" w:rsidP="00006261">
            <w:pPr>
              <w:spacing w:after="0" w:line="240" w:lineRule="atLeast"/>
              <w:jc w:val="both"/>
              <w:rPr>
                <w:b/>
                <w:sz w:val="18"/>
                <w:szCs w:val="20"/>
              </w:rPr>
            </w:pPr>
            <w:r w:rsidRPr="00AA5249">
              <w:rPr>
                <w:b/>
                <w:sz w:val="18"/>
                <w:szCs w:val="20"/>
              </w:rPr>
              <w:t>- domaćinstva koja su koris</w:t>
            </w:r>
            <w:r w:rsidR="00567F05" w:rsidRPr="00AA5249">
              <w:rPr>
                <w:b/>
                <w:sz w:val="18"/>
                <w:szCs w:val="20"/>
              </w:rPr>
              <w:t>nici stalne pomoći CZSS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B6" w:rsidRPr="00AA5249" w:rsidRDefault="008F46B6" w:rsidP="00567F05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 xml:space="preserve"> 0,00 kn</w:t>
            </w:r>
          </w:p>
        </w:tc>
      </w:tr>
      <w:tr w:rsidR="008F46B6" w:rsidRPr="00A56105" w:rsidTr="007E33E7">
        <w:trPr>
          <w:tblCellSpacing w:w="15" w:type="dxa"/>
          <w:jc w:val="center"/>
        </w:trPr>
        <w:tc>
          <w:tcPr>
            <w:tcW w:w="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C6325C" w:rsidP="00006261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>5</w:t>
            </w:r>
            <w:r w:rsidR="008F46B6" w:rsidRPr="00AA5249">
              <w:rPr>
                <w:sz w:val="18"/>
                <w:szCs w:val="20"/>
              </w:rPr>
              <w:t>.</w:t>
            </w:r>
          </w:p>
        </w:tc>
        <w:tc>
          <w:tcPr>
            <w:tcW w:w="54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8F46B6" w:rsidP="00006261">
            <w:pPr>
              <w:spacing w:after="0" w:line="240" w:lineRule="atLeast"/>
              <w:jc w:val="both"/>
              <w:rPr>
                <w:i/>
                <w:sz w:val="18"/>
                <w:szCs w:val="20"/>
              </w:rPr>
            </w:pPr>
            <w:r w:rsidRPr="00AA5249">
              <w:rPr>
                <w:b/>
                <w:i/>
                <w:sz w:val="18"/>
                <w:szCs w:val="20"/>
              </w:rPr>
              <w:t>-  trgovačka društva , obrti i ustanove</w:t>
            </w:r>
            <w:r w:rsidRPr="00AA5249">
              <w:rPr>
                <w:i/>
                <w:sz w:val="18"/>
                <w:szCs w:val="20"/>
              </w:rPr>
              <w:t xml:space="preserve">  </w:t>
            </w:r>
            <w:r w:rsidRPr="00AA5249">
              <w:rPr>
                <w:sz w:val="18"/>
                <w:szCs w:val="20"/>
              </w:rPr>
              <w:t xml:space="preserve">  - posuda 120 l             </w:t>
            </w:r>
          </w:p>
          <w:p w:rsidR="008F46B6" w:rsidRPr="00AA5249" w:rsidRDefault="008F46B6" w:rsidP="00006261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 xml:space="preserve">                                                  </w:t>
            </w:r>
            <w:r w:rsidR="00567F05" w:rsidRPr="00AA5249">
              <w:rPr>
                <w:sz w:val="18"/>
                <w:szCs w:val="20"/>
              </w:rPr>
              <w:t xml:space="preserve">                   </w:t>
            </w:r>
            <w:r w:rsidRPr="00AA5249">
              <w:rPr>
                <w:sz w:val="18"/>
                <w:szCs w:val="20"/>
              </w:rPr>
              <w:t xml:space="preserve">   - posuda  240 l  </w:t>
            </w:r>
          </w:p>
          <w:p w:rsidR="008F46B6" w:rsidRPr="00AA5249" w:rsidRDefault="008F46B6" w:rsidP="00006261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 xml:space="preserve">                                                </w:t>
            </w:r>
            <w:r w:rsidR="00567F05" w:rsidRPr="00AA5249">
              <w:rPr>
                <w:sz w:val="18"/>
                <w:szCs w:val="20"/>
              </w:rPr>
              <w:t xml:space="preserve">                   </w:t>
            </w:r>
            <w:r w:rsidRPr="00AA5249">
              <w:rPr>
                <w:sz w:val="18"/>
                <w:szCs w:val="20"/>
              </w:rPr>
              <w:t xml:space="preserve">     - posuda 1100 l                </w:t>
            </w:r>
          </w:p>
          <w:p w:rsidR="008F46B6" w:rsidRPr="00AA5249" w:rsidRDefault="008F46B6" w:rsidP="00006261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 xml:space="preserve">                                                </w:t>
            </w:r>
            <w:r w:rsidR="00567F05" w:rsidRPr="00AA5249">
              <w:rPr>
                <w:sz w:val="18"/>
                <w:szCs w:val="20"/>
              </w:rPr>
              <w:t xml:space="preserve">                   </w:t>
            </w:r>
            <w:r w:rsidRPr="00AA5249">
              <w:rPr>
                <w:sz w:val="18"/>
                <w:szCs w:val="20"/>
              </w:rPr>
              <w:t xml:space="preserve">     - posuda 5  m3                                               </w:t>
            </w:r>
          </w:p>
          <w:p w:rsidR="008F46B6" w:rsidRPr="00AA5249" w:rsidRDefault="008F46B6" w:rsidP="00006261">
            <w:pPr>
              <w:spacing w:after="0" w:line="240" w:lineRule="atLeast"/>
              <w:jc w:val="both"/>
              <w:rPr>
                <w:i/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 xml:space="preserve">                                                </w:t>
            </w:r>
            <w:r w:rsidR="00567F05" w:rsidRPr="00AA5249">
              <w:rPr>
                <w:sz w:val="18"/>
                <w:szCs w:val="20"/>
              </w:rPr>
              <w:t xml:space="preserve">                   </w:t>
            </w:r>
            <w:r w:rsidRPr="00AA5249">
              <w:rPr>
                <w:sz w:val="18"/>
                <w:szCs w:val="20"/>
              </w:rPr>
              <w:t xml:space="preserve">     - posuda  7 m3</w:t>
            </w:r>
            <w:r w:rsidRPr="00AA5249">
              <w:rPr>
                <w:i/>
                <w:sz w:val="18"/>
                <w:szCs w:val="20"/>
              </w:rPr>
              <w:t xml:space="preserve">                                                 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7E33E7" w:rsidP="00567F05">
            <w:pPr>
              <w:spacing w:after="0" w:line="240" w:lineRule="atLeast"/>
              <w:rPr>
                <w:rFonts w:eastAsiaTheme="minorEastAsia"/>
                <w:sz w:val="18"/>
                <w:szCs w:val="20"/>
                <w:lang w:eastAsia="hr-HR"/>
              </w:rPr>
            </w:pPr>
            <w:r>
              <w:rPr>
                <w:rFonts w:eastAsiaTheme="minorEastAsia"/>
                <w:sz w:val="18"/>
                <w:szCs w:val="20"/>
                <w:lang w:eastAsia="hr-HR"/>
              </w:rPr>
              <w:t xml:space="preserve">         </w:t>
            </w:r>
            <w:r w:rsidR="00567F05"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   </w:t>
            </w:r>
            <w:r w:rsidR="008F46B6"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96,00 kn</w:t>
            </w:r>
          </w:p>
          <w:p w:rsidR="008F46B6" w:rsidRPr="00AA5249" w:rsidRDefault="00567F05" w:rsidP="00567F05">
            <w:pPr>
              <w:spacing w:after="0" w:line="240" w:lineRule="atLeast"/>
              <w:rPr>
                <w:rFonts w:eastAsiaTheme="minorEastAsia"/>
                <w:sz w:val="18"/>
                <w:szCs w:val="20"/>
                <w:lang w:eastAsia="hr-HR"/>
              </w:rPr>
            </w:pP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         </w:t>
            </w:r>
            <w:r w:rsidR="008F46B6"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 131,28 kn</w:t>
            </w:r>
          </w:p>
          <w:p w:rsidR="008F46B6" w:rsidRPr="00AA5249" w:rsidRDefault="007E33E7" w:rsidP="00567F05">
            <w:pPr>
              <w:spacing w:after="0" w:line="240" w:lineRule="atLeast"/>
              <w:rPr>
                <w:rFonts w:eastAsiaTheme="minorEastAsia"/>
                <w:sz w:val="18"/>
                <w:szCs w:val="20"/>
                <w:lang w:eastAsia="hr-HR"/>
              </w:rPr>
            </w:pPr>
            <w:r>
              <w:rPr>
                <w:rFonts w:eastAsiaTheme="minorEastAsia"/>
                <w:sz w:val="18"/>
                <w:szCs w:val="20"/>
                <w:lang w:eastAsia="hr-HR"/>
              </w:rPr>
              <w:t xml:space="preserve">         </w:t>
            </w:r>
            <w:r w:rsidR="00567F05"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  </w:t>
            </w:r>
            <w:r w:rsidR="008F46B6" w:rsidRPr="00AA5249">
              <w:rPr>
                <w:rFonts w:eastAsiaTheme="minorEastAsia"/>
                <w:sz w:val="18"/>
                <w:szCs w:val="20"/>
                <w:lang w:eastAsia="hr-HR"/>
              </w:rPr>
              <w:t>381,50 kn</w:t>
            </w:r>
          </w:p>
          <w:p w:rsidR="008F46B6" w:rsidRPr="00AA5249" w:rsidRDefault="008F46B6" w:rsidP="00006261">
            <w:pPr>
              <w:spacing w:after="0" w:line="240" w:lineRule="atLeast"/>
              <w:rPr>
                <w:rFonts w:eastAsiaTheme="minorEastAsia"/>
                <w:sz w:val="18"/>
                <w:szCs w:val="20"/>
                <w:lang w:eastAsia="hr-HR"/>
              </w:rPr>
            </w:pP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</w:t>
            </w:r>
            <w:r w:rsidR="00567F05"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       </w:t>
            </w: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>1.614,50 kn</w:t>
            </w:r>
          </w:p>
          <w:p w:rsidR="008F46B6" w:rsidRPr="00AA5249" w:rsidRDefault="008F46B6" w:rsidP="00567F05">
            <w:pPr>
              <w:spacing w:after="0" w:line="240" w:lineRule="atLeast"/>
              <w:rPr>
                <w:rFonts w:eastAsiaTheme="minorEastAsia"/>
                <w:sz w:val="18"/>
                <w:szCs w:val="20"/>
                <w:lang w:eastAsia="hr-HR"/>
              </w:rPr>
            </w:pP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</w:t>
            </w:r>
            <w:r w:rsidR="00567F05"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     </w:t>
            </w:r>
            <w:r w:rsidR="00AA5249">
              <w:rPr>
                <w:rFonts w:eastAsiaTheme="minorEastAsia"/>
                <w:sz w:val="18"/>
                <w:szCs w:val="20"/>
                <w:lang w:eastAsia="hr-HR"/>
              </w:rPr>
              <w:t xml:space="preserve"> </w:t>
            </w: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1.751,14 kn</w:t>
            </w:r>
          </w:p>
        </w:tc>
      </w:tr>
      <w:tr w:rsidR="008F46B6" w:rsidRPr="00A56105" w:rsidTr="007E33E7">
        <w:trPr>
          <w:tblCellSpacing w:w="15" w:type="dxa"/>
          <w:jc w:val="center"/>
        </w:trPr>
        <w:tc>
          <w:tcPr>
            <w:tcW w:w="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C6325C" w:rsidP="00006261">
            <w:pPr>
              <w:spacing w:after="0" w:line="240" w:lineRule="atLeast"/>
              <w:jc w:val="center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>6</w:t>
            </w:r>
            <w:r w:rsidR="008F46B6" w:rsidRPr="00AA5249">
              <w:rPr>
                <w:sz w:val="18"/>
                <w:szCs w:val="20"/>
              </w:rPr>
              <w:t>.</w:t>
            </w:r>
          </w:p>
        </w:tc>
        <w:tc>
          <w:tcPr>
            <w:tcW w:w="54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567F05" w:rsidP="00006261">
            <w:pPr>
              <w:spacing w:after="0" w:line="240" w:lineRule="atLeast"/>
              <w:jc w:val="both"/>
              <w:rPr>
                <w:sz w:val="18"/>
                <w:szCs w:val="20"/>
              </w:rPr>
            </w:pPr>
            <w:r w:rsidRPr="00AA5249">
              <w:rPr>
                <w:sz w:val="18"/>
                <w:szCs w:val="20"/>
              </w:rPr>
              <w:t xml:space="preserve">- </w:t>
            </w:r>
            <w:r w:rsidR="008F46B6" w:rsidRPr="00AA5249">
              <w:rPr>
                <w:sz w:val="18"/>
                <w:szCs w:val="20"/>
              </w:rPr>
              <w:t>dodatna vreća (120 litara)</w:t>
            </w:r>
          </w:p>
        </w:tc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B6" w:rsidRPr="00AA5249" w:rsidRDefault="00567F05" w:rsidP="00567F05">
            <w:pPr>
              <w:spacing w:after="0" w:line="240" w:lineRule="atLeast"/>
              <w:rPr>
                <w:rFonts w:eastAsiaTheme="minorEastAsia"/>
                <w:sz w:val="18"/>
                <w:szCs w:val="20"/>
                <w:lang w:eastAsia="hr-HR"/>
              </w:rPr>
            </w:pP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     </w:t>
            </w:r>
            <w:r w:rsidR="00AA5249">
              <w:rPr>
                <w:rFonts w:eastAsiaTheme="minorEastAsia"/>
                <w:sz w:val="18"/>
                <w:szCs w:val="20"/>
                <w:lang w:eastAsia="hr-HR"/>
              </w:rPr>
              <w:t xml:space="preserve"> </w:t>
            </w:r>
            <w:r w:rsidRPr="00AA5249">
              <w:rPr>
                <w:rFonts w:eastAsiaTheme="minorEastAsia"/>
                <w:sz w:val="18"/>
                <w:szCs w:val="20"/>
                <w:lang w:eastAsia="hr-HR"/>
              </w:rPr>
              <w:t xml:space="preserve">       </w:t>
            </w:r>
            <w:r w:rsidR="008F46B6" w:rsidRPr="00AA5249">
              <w:rPr>
                <w:rFonts w:eastAsiaTheme="minorEastAsia"/>
                <w:sz w:val="18"/>
                <w:szCs w:val="20"/>
                <w:lang w:eastAsia="hr-HR"/>
              </w:rPr>
              <w:t>37,81 kn</w:t>
            </w:r>
          </w:p>
        </w:tc>
      </w:tr>
    </w:tbl>
    <w:p w:rsidR="008F46B6" w:rsidRPr="00567F05" w:rsidRDefault="008F46B6" w:rsidP="008F46B6">
      <w:pPr>
        <w:spacing w:after="0" w:line="240" w:lineRule="atLeast"/>
        <w:jc w:val="both"/>
        <w:rPr>
          <w:sz w:val="2"/>
        </w:rPr>
      </w:pPr>
    </w:p>
    <w:p w:rsidR="008F46B6" w:rsidRDefault="008F46B6" w:rsidP="00AA5249">
      <w:pPr>
        <w:spacing w:after="0" w:line="240" w:lineRule="atLeast"/>
        <w:jc w:val="both"/>
        <w:rPr>
          <w:sz w:val="18"/>
        </w:rPr>
      </w:pPr>
      <w:r w:rsidRPr="00FB7D35">
        <w:rPr>
          <w:sz w:val="18"/>
          <w:u w:val="single"/>
        </w:rPr>
        <w:t>NAPOMENA</w:t>
      </w:r>
      <w:r w:rsidRPr="00567F05">
        <w:rPr>
          <w:sz w:val="18"/>
        </w:rPr>
        <w:t xml:space="preserve">: U naprijed navede cijene uključen je PDV. </w:t>
      </w:r>
    </w:p>
    <w:p w:rsidR="004E51BD" w:rsidRDefault="004E51BD" w:rsidP="007E33E7">
      <w:pPr>
        <w:autoSpaceDE w:val="0"/>
        <w:autoSpaceDN w:val="0"/>
        <w:adjustRightInd w:val="0"/>
        <w:spacing w:after="0" w:line="160" w:lineRule="atLeast"/>
        <w:ind w:firstLine="709"/>
        <w:jc w:val="both"/>
        <w:rPr>
          <w:bCs/>
          <w:color w:val="000000"/>
          <w:sz w:val="18"/>
          <w:szCs w:val="20"/>
        </w:rPr>
      </w:pPr>
      <w:r>
        <w:rPr>
          <w:bCs/>
          <w:color w:val="000000"/>
          <w:sz w:val="18"/>
          <w:szCs w:val="20"/>
        </w:rPr>
        <w:t xml:space="preserve">      </w:t>
      </w:r>
      <w:r w:rsidRPr="004E51BD">
        <w:rPr>
          <w:bCs/>
          <w:color w:val="000000"/>
          <w:sz w:val="18"/>
          <w:szCs w:val="20"/>
        </w:rPr>
        <w:t>Za stambene objekte s više domaćinstava i nepristupačna područja, postaviti će se spremnik od 1100 l, prilikom</w:t>
      </w:r>
    </w:p>
    <w:p w:rsidR="004E51BD" w:rsidRPr="004E51BD" w:rsidRDefault="004E51BD" w:rsidP="007E33E7">
      <w:pPr>
        <w:autoSpaceDE w:val="0"/>
        <w:autoSpaceDN w:val="0"/>
        <w:adjustRightInd w:val="0"/>
        <w:spacing w:after="0" w:line="160" w:lineRule="atLeast"/>
        <w:ind w:firstLine="709"/>
        <w:jc w:val="both"/>
        <w:rPr>
          <w:bCs/>
          <w:color w:val="000000"/>
          <w:sz w:val="18"/>
          <w:szCs w:val="20"/>
        </w:rPr>
      </w:pPr>
      <w:r>
        <w:rPr>
          <w:bCs/>
          <w:color w:val="000000"/>
          <w:sz w:val="18"/>
          <w:szCs w:val="20"/>
        </w:rPr>
        <w:t xml:space="preserve">     </w:t>
      </w:r>
      <w:r w:rsidRPr="004E51BD">
        <w:rPr>
          <w:bCs/>
          <w:color w:val="000000"/>
          <w:sz w:val="18"/>
          <w:szCs w:val="20"/>
        </w:rPr>
        <w:t xml:space="preserve"> čega će se primjenjivati</w:t>
      </w:r>
      <w:r>
        <w:rPr>
          <w:bCs/>
          <w:color w:val="000000"/>
          <w:sz w:val="18"/>
          <w:szCs w:val="20"/>
        </w:rPr>
        <w:t xml:space="preserve"> cijena posude</w:t>
      </w:r>
      <w:r w:rsidRPr="004E51BD">
        <w:rPr>
          <w:bCs/>
          <w:color w:val="000000"/>
          <w:sz w:val="18"/>
          <w:szCs w:val="20"/>
        </w:rPr>
        <w:t xml:space="preserve"> od 120 l po domaćinstvu.</w:t>
      </w:r>
    </w:p>
    <w:p w:rsidR="00FB7D35" w:rsidRPr="007E33E7" w:rsidRDefault="00FB7D35" w:rsidP="007E33E7">
      <w:pPr>
        <w:spacing w:after="0" w:line="160" w:lineRule="atLeast"/>
        <w:jc w:val="both"/>
        <w:rPr>
          <w:sz w:val="8"/>
        </w:rPr>
      </w:pPr>
    </w:p>
    <w:p w:rsidR="00FB7D35" w:rsidRPr="00FB7D35" w:rsidRDefault="00FB7D35" w:rsidP="007E33E7">
      <w:pPr>
        <w:spacing w:after="0" w:line="160" w:lineRule="atLeast"/>
        <w:jc w:val="both"/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</w:pPr>
      <w:r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>Mole se cijenjeni korisnici da posude sa komunalnim otpadom</w:t>
      </w:r>
      <w:r w:rsidRPr="00FB7D35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iznesu</w:t>
      </w:r>
      <w:r w:rsidR="00755DAB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dan ranije ili na sam dan odvoza</w:t>
      </w:r>
      <w:r w:rsidRPr="00FB7D35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najkasnije do 07,0</w:t>
      </w:r>
      <w:r w:rsidR="00EF7745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>0 sati.</w:t>
      </w:r>
      <w:r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Posude</w:t>
      </w:r>
      <w:r w:rsidRPr="00FB7D35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molimo ostaviti</w:t>
      </w:r>
      <w:r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izvan dvorišta uz cestu gdje</w:t>
      </w:r>
      <w:r w:rsidRPr="00FB7D35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se</w:t>
      </w:r>
      <w:r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iste mogu</w:t>
      </w:r>
      <w:r w:rsidRPr="00FB7D35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</w:t>
      </w:r>
      <w:r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>is</w:t>
      </w:r>
      <w:r w:rsidRPr="00FB7D35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>prazniti.</w:t>
      </w:r>
      <w:r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</w:t>
      </w:r>
      <w:r w:rsidRPr="00FB7D35">
        <w:rPr>
          <w:rFonts w:eastAsia="Times New Roman" w:cs="Arial"/>
          <w:bCs/>
          <w:color w:val="000000" w:themeColor="text1"/>
          <w:sz w:val="18"/>
          <w:szCs w:val="24"/>
          <w:lang w:eastAsia="hr-HR"/>
        </w:rPr>
        <w:t xml:space="preserve"> </w:t>
      </w:r>
    </w:p>
    <w:p w:rsidR="007C58E7" w:rsidRDefault="007C58E7" w:rsidP="007C58E7">
      <w:pPr>
        <w:spacing w:after="0" w:line="60" w:lineRule="atLeast"/>
        <w:jc w:val="both"/>
        <w:rPr>
          <w:sz w:val="20"/>
          <w:szCs w:val="20"/>
        </w:rPr>
      </w:pPr>
    </w:p>
    <w:p w:rsidR="007C58E7" w:rsidRPr="007C58E7" w:rsidRDefault="007C58E7" w:rsidP="007C58E7">
      <w:pPr>
        <w:spacing w:after="0" w:line="60" w:lineRule="atLeast"/>
        <w:jc w:val="both"/>
        <w:rPr>
          <w:sz w:val="18"/>
          <w:szCs w:val="20"/>
        </w:rPr>
      </w:pPr>
      <w:r>
        <w:rPr>
          <w:sz w:val="18"/>
          <w:szCs w:val="20"/>
        </w:rPr>
        <w:t>Odvoz</w:t>
      </w:r>
      <w:r w:rsidRPr="007C58E7">
        <w:rPr>
          <w:sz w:val="18"/>
          <w:szCs w:val="20"/>
        </w:rPr>
        <w:t xml:space="preserve"> glomaznog otpada vršiti će se dva (2) puta godišnje</w:t>
      </w:r>
      <w:r>
        <w:rPr>
          <w:sz w:val="18"/>
          <w:szCs w:val="20"/>
        </w:rPr>
        <w:t>, dok će se o</w:t>
      </w:r>
      <w:r w:rsidRPr="007C58E7">
        <w:rPr>
          <w:sz w:val="18"/>
          <w:szCs w:val="20"/>
        </w:rPr>
        <w:t>dvoz plastike, papira, stakla</w:t>
      </w:r>
      <w:r>
        <w:rPr>
          <w:sz w:val="18"/>
          <w:szCs w:val="20"/>
        </w:rPr>
        <w:t>,</w:t>
      </w:r>
      <w:r w:rsidRPr="007C58E7">
        <w:rPr>
          <w:sz w:val="18"/>
          <w:szCs w:val="20"/>
        </w:rPr>
        <w:t xml:space="preserve"> metala</w:t>
      </w:r>
      <w:r>
        <w:rPr>
          <w:sz w:val="18"/>
          <w:szCs w:val="20"/>
        </w:rPr>
        <w:t xml:space="preserve"> i tekstila obavljati</w:t>
      </w:r>
      <w:r w:rsidRPr="007C58E7">
        <w:rPr>
          <w:sz w:val="18"/>
          <w:szCs w:val="20"/>
        </w:rPr>
        <w:t xml:space="preserve"> četiri (4) puta godišnje</w:t>
      </w:r>
      <w:r>
        <w:rPr>
          <w:sz w:val="18"/>
          <w:szCs w:val="20"/>
        </w:rPr>
        <w:t xml:space="preserve"> </w:t>
      </w:r>
      <w:r w:rsidRPr="007C58E7">
        <w:rPr>
          <w:color w:val="000000"/>
          <w:sz w:val="18"/>
          <w:szCs w:val="20"/>
        </w:rPr>
        <w:t xml:space="preserve">putem </w:t>
      </w:r>
      <w:r w:rsidRPr="007C58E7">
        <w:rPr>
          <w:sz w:val="18"/>
          <w:szCs w:val="20"/>
        </w:rPr>
        <w:t>odgovarajućih spremnika (kontejnera) p</w:t>
      </w:r>
      <w:r>
        <w:rPr>
          <w:sz w:val="18"/>
          <w:szCs w:val="20"/>
        </w:rPr>
        <w:t xml:space="preserve">ostavljenih na </w:t>
      </w:r>
      <w:r w:rsidRPr="007C58E7">
        <w:rPr>
          <w:i/>
          <w:sz w:val="18"/>
          <w:szCs w:val="20"/>
        </w:rPr>
        <w:t>zelenim otocima</w:t>
      </w:r>
      <w:r>
        <w:rPr>
          <w:sz w:val="18"/>
          <w:szCs w:val="20"/>
        </w:rPr>
        <w:t xml:space="preserve">. </w:t>
      </w:r>
    </w:p>
    <w:p w:rsidR="007C58E7" w:rsidRPr="00FB7D35" w:rsidRDefault="007C58E7" w:rsidP="00AA5249">
      <w:pPr>
        <w:spacing w:after="0" w:line="240" w:lineRule="atLeast"/>
        <w:jc w:val="both"/>
        <w:rPr>
          <w:sz w:val="20"/>
          <w:szCs w:val="20"/>
        </w:rPr>
      </w:pPr>
    </w:p>
    <w:p w:rsidR="00C6325C" w:rsidRPr="00FB7D35" w:rsidRDefault="00AA5249" w:rsidP="007E33E7">
      <w:pPr>
        <w:spacing w:after="0" w:line="160" w:lineRule="atLeast"/>
        <w:jc w:val="both"/>
        <w:rPr>
          <w:color w:val="000000" w:themeColor="text1"/>
          <w:sz w:val="18"/>
          <w:szCs w:val="20"/>
        </w:rPr>
      </w:pPr>
      <w:r w:rsidRPr="00FB7D35">
        <w:rPr>
          <w:rFonts w:eastAsia="Times New Roman" w:cs="Arial"/>
          <w:bCs/>
          <w:color w:val="000000" w:themeColor="text1"/>
          <w:sz w:val="18"/>
          <w:szCs w:val="20"/>
          <w:lang w:eastAsia="hr-HR"/>
        </w:rPr>
        <w:t>Po pitanju ostalih informacija vezanih uz odvoz komunalnog otpada sa područja vaše Općine</w:t>
      </w:r>
      <w:r w:rsidR="00FB7D35" w:rsidRPr="00FB7D35">
        <w:rPr>
          <w:rFonts w:eastAsia="Times New Roman" w:cs="Arial"/>
          <w:bCs/>
          <w:color w:val="000000" w:themeColor="text1"/>
          <w:sz w:val="18"/>
          <w:szCs w:val="20"/>
          <w:lang w:eastAsia="hr-HR"/>
        </w:rPr>
        <w:t>,</w:t>
      </w:r>
      <w:r w:rsidRPr="00FB7D35">
        <w:rPr>
          <w:rFonts w:eastAsia="Times New Roman" w:cs="Arial"/>
          <w:bCs/>
          <w:color w:val="000000" w:themeColor="text1"/>
          <w:sz w:val="18"/>
          <w:szCs w:val="20"/>
          <w:lang w:eastAsia="hr-HR"/>
        </w:rPr>
        <w:t xml:space="preserve"> </w:t>
      </w:r>
      <w:r w:rsidR="00FB7D35" w:rsidRPr="00FB7D35">
        <w:rPr>
          <w:bCs/>
          <w:color w:val="000000" w:themeColor="text1"/>
          <w:sz w:val="18"/>
          <w:szCs w:val="20"/>
        </w:rPr>
        <w:t>kao i</w:t>
      </w:r>
      <w:r w:rsidRPr="00FB7D35">
        <w:rPr>
          <w:bCs/>
          <w:color w:val="000000" w:themeColor="text1"/>
          <w:sz w:val="18"/>
          <w:szCs w:val="20"/>
        </w:rPr>
        <w:t xml:space="preserve"> u slučaju</w:t>
      </w:r>
      <w:r w:rsidR="00FB7D35" w:rsidRPr="00FB7D35">
        <w:rPr>
          <w:bCs/>
          <w:color w:val="000000" w:themeColor="text1"/>
          <w:sz w:val="18"/>
          <w:szCs w:val="20"/>
        </w:rPr>
        <w:t xml:space="preserve"> promjene odgovarajućih podataka</w:t>
      </w:r>
      <w:r w:rsidR="00C6325C" w:rsidRPr="00FB7D35">
        <w:rPr>
          <w:bCs/>
          <w:color w:val="000000" w:themeColor="text1"/>
          <w:sz w:val="18"/>
          <w:szCs w:val="20"/>
        </w:rPr>
        <w:t xml:space="preserve"> (ispravak adrese ili naziva korisnika usluge odvoza komunalnog otpada), molimo vas da nam iste</w:t>
      </w:r>
      <w:r w:rsidR="00FB7D35" w:rsidRPr="00FB7D35">
        <w:rPr>
          <w:bCs/>
          <w:color w:val="000000" w:themeColor="text1"/>
          <w:sz w:val="18"/>
          <w:szCs w:val="20"/>
        </w:rPr>
        <w:t xml:space="preserve"> javite ili</w:t>
      </w:r>
      <w:r w:rsidR="00C6325C" w:rsidRPr="00FB7D35">
        <w:rPr>
          <w:bCs/>
          <w:color w:val="000000" w:themeColor="text1"/>
          <w:sz w:val="18"/>
          <w:szCs w:val="20"/>
        </w:rPr>
        <w:t xml:space="preserve"> dostavite putem pošte</w:t>
      </w:r>
      <w:r w:rsidR="00FB7D35" w:rsidRPr="00FB7D35">
        <w:rPr>
          <w:bCs/>
          <w:color w:val="000000" w:themeColor="text1"/>
          <w:sz w:val="18"/>
          <w:szCs w:val="20"/>
        </w:rPr>
        <w:t xml:space="preserve"> našoj poslovnoj jedinici</w:t>
      </w:r>
      <w:r w:rsidR="00C6325C" w:rsidRPr="00FB7D35">
        <w:rPr>
          <w:bCs/>
          <w:color w:val="000000" w:themeColor="text1"/>
          <w:sz w:val="18"/>
          <w:szCs w:val="20"/>
        </w:rPr>
        <w:t xml:space="preserve"> na adresu: MULL-TRANS</w:t>
      </w:r>
      <w:r w:rsidR="00567F05" w:rsidRPr="00FB7D35">
        <w:rPr>
          <w:bCs/>
          <w:color w:val="000000" w:themeColor="text1"/>
          <w:sz w:val="18"/>
          <w:szCs w:val="20"/>
        </w:rPr>
        <w:t xml:space="preserve"> d.o.o.,</w:t>
      </w:r>
      <w:r w:rsidR="00C6325C" w:rsidRPr="00FB7D35">
        <w:rPr>
          <w:bCs/>
          <w:color w:val="000000" w:themeColor="text1"/>
          <w:sz w:val="18"/>
          <w:szCs w:val="20"/>
        </w:rPr>
        <w:t xml:space="preserve"> Mokrice 180/C, 49243 Oroslavje</w:t>
      </w:r>
      <w:r w:rsidRPr="00FB7D35">
        <w:rPr>
          <w:bCs/>
          <w:color w:val="000000" w:themeColor="text1"/>
          <w:sz w:val="18"/>
          <w:szCs w:val="20"/>
        </w:rPr>
        <w:t>, e-mailom: info@eko-flor.hr,</w:t>
      </w:r>
      <w:r w:rsidR="00C6325C" w:rsidRPr="00FB7D35">
        <w:rPr>
          <w:bCs/>
          <w:color w:val="000000" w:themeColor="text1"/>
          <w:sz w:val="18"/>
          <w:szCs w:val="20"/>
        </w:rPr>
        <w:t xml:space="preserve"> ili</w:t>
      </w:r>
      <w:r w:rsidR="00567F05" w:rsidRPr="00FB7D35">
        <w:rPr>
          <w:bCs/>
          <w:color w:val="000000" w:themeColor="text1"/>
          <w:sz w:val="18"/>
          <w:szCs w:val="20"/>
        </w:rPr>
        <w:t xml:space="preserve"> putem faxa na broj: 049/249-240</w:t>
      </w:r>
      <w:r w:rsidR="00C6325C" w:rsidRPr="00FB7D35">
        <w:rPr>
          <w:bCs/>
          <w:color w:val="000000" w:themeColor="text1"/>
          <w:sz w:val="18"/>
          <w:szCs w:val="20"/>
        </w:rPr>
        <w:t xml:space="preserve">. </w:t>
      </w:r>
      <w:r w:rsidR="00C6325C" w:rsidRPr="00FB7D35">
        <w:rPr>
          <w:color w:val="000000" w:themeColor="text1"/>
          <w:sz w:val="18"/>
          <w:szCs w:val="20"/>
        </w:rPr>
        <w:t xml:space="preserve"> </w:t>
      </w:r>
    </w:p>
    <w:p w:rsidR="00AA5249" w:rsidRPr="00FB7D35" w:rsidRDefault="00AA5249" w:rsidP="007E33E7">
      <w:pPr>
        <w:spacing w:after="0" w:line="160" w:lineRule="atLeast"/>
        <w:jc w:val="both"/>
        <w:rPr>
          <w:color w:val="000000" w:themeColor="text1"/>
          <w:sz w:val="20"/>
        </w:rPr>
      </w:pPr>
    </w:p>
    <w:p w:rsidR="00FB7D35" w:rsidRDefault="00C6325C" w:rsidP="007E33E7">
      <w:pPr>
        <w:spacing w:after="0" w:line="160" w:lineRule="atLeast"/>
        <w:jc w:val="both"/>
        <w:rPr>
          <w:color w:val="000000" w:themeColor="text1"/>
          <w:sz w:val="18"/>
        </w:rPr>
      </w:pPr>
      <w:r w:rsidRPr="00FB7D35">
        <w:rPr>
          <w:color w:val="000000" w:themeColor="text1"/>
          <w:sz w:val="18"/>
        </w:rPr>
        <w:t xml:space="preserve">S poštovanjem! </w:t>
      </w:r>
      <w:r w:rsidRPr="00FB7D35">
        <w:rPr>
          <w:color w:val="000000" w:themeColor="text1"/>
          <w:sz w:val="18"/>
        </w:rPr>
        <w:tab/>
      </w:r>
      <w:r w:rsidRPr="00FB7D35">
        <w:rPr>
          <w:color w:val="000000" w:themeColor="text1"/>
          <w:sz w:val="18"/>
        </w:rPr>
        <w:tab/>
      </w:r>
      <w:r w:rsidRPr="00FB7D35">
        <w:rPr>
          <w:color w:val="000000" w:themeColor="text1"/>
          <w:sz w:val="18"/>
        </w:rPr>
        <w:tab/>
      </w:r>
      <w:r w:rsidRPr="00FB7D35">
        <w:rPr>
          <w:color w:val="000000" w:themeColor="text1"/>
          <w:sz w:val="18"/>
        </w:rPr>
        <w:tab/>
      </w:r>
      <w:r w:rsidRPr="00FB7D35">
        <w:rPr>
          <w:color w:val="000000" w:themeColor="text1"/>
          <w:sz w:val="18"/>
        </w:rPr>
        <w:tab/>
      </w:r>
      <w:r w:rsidRPr="00FB7D35">
        <w:rPr>
          <w:color w:val="000000" w:themeColor="text1"/>
          <w:sz w:val="18"/>
        </w:rPr>
        <w:tab/>
      </w:r>
      <w:r w:rsidRPr="00FB7D35">
        <w:rPr>
          <w:color w:val="000000" w:themeColor="text1"/>
          <w:sz w:val="18"/>
        </w:rPr>
        <w:tab/>
      </w:r>
      <w:r w:rsidRPr="00FB7D35">
        <w:rPr>
          <w:color w:val="000000" w:themeColor="text1"/>
          <w:sz w:val="18"/>
        </w:rPr>
        <w:tab/>
        <w:t xml:space="preserve"> </w:t>
      </w:r>
      <w:r w:rsidR="00FB7D35" w:rsidRPr="00FB7D35">
        <w:rPr>
          <w:color w:val="000000" w:themeColor="text1"/>
          <w:sz w:val="18"/>
        </w:rPr>
        <w:t xml:space="preserve">                  </w:t>
      </w:r>
      <w:r w:rsidRPr="00FB7D35">
        <w:rPr>
          <w:color w:val="000000" w:themeColor="text1"/>
          <w:sz w:val="18"/>
        </w:rPr>
        <w:t xml:space="preserve">  </w:t>
      </w:r>
      <w:r w:rsidR="007E33E7">
        <w:rPr>
          <w:color w:val="000000" w:themeColor="text1"/>
          <w:sz w:val="18"/>
        </w:rPr>
        <w:t xml:space="preserve">           </w:t>
      </w:r>
      <w:r w:rsidRPr="00FB7D35">
        <w:rPr>
          <w:color w:val="000000" w:themeColor="text1"/>
          <w:sz w:val="18"/>
        </w:rPr>
        <w:t xml:space="preserve">  MULL-TRANS d.o.o. </w:t>
      </w:r>
    </w:p>
    <w:p w:rsidR="007E33E7" w:rsidRPr="007E33E7" w:rsidRDefault="007E33E7" w:rsidP="007E33E7">
      <w:pPr>
        <w:spacing w:after="0" w:line="160" w:lineRule="atLeast"/>
        <w:jc w:val="both"/>
        <w:rPr>
          <w:color w:val="000000" w:themeColor="text1"/>
          <w:sz w:val="10"/>
        </w:rPr>
      </w:pPr>
    </w:p>
    <w:p w:rsidR="007E33E7" w:rsidRPr="00755DAB" w:rsidRDefault="007E33E7" w:rsidP="007E33E7">
      <w:pPr>
        <w:spacing w:after="0" w:line="160" w:lineRule="atLeast"/>
        <w:jc w:val="both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Varaždin, 04. kolovoza 2014. </w:t>
      </w:r>
    </w:p>
    <w:sectPr w:rsidR="007E33E7" w:rsidRPr="00755DAB" w:rsidSect="005E02BE">
      <w:pgSz w:w="11906" w:h="16838"/>
      <w:pgMar w:top="28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F46B6"/>
    <w:rsid w:val="004E51BD"/>
    <w:rsid w:val="0050403C"/>
    <w:rsid w:val="00567F05"/>
    <w:rsid w:val="005E02BE"/>
    <w:rsid w:val="00755DAB"/>
    <w:rsid w:val="007C58E7"/>
    <w:rsid w:val="007E33E7"/>
    <w:rsid w:val="008F46B6"/>
    <w:rsid w:val="00944F77"/>
    <w:rsid w:val="00AA5249"/>
    <w:rsid w:val="00AC3E1A"/>
    <w:rsid w:val="00BB32F0"/>
    <w:rsid w:val="00C6325C"/>
    <w:rsid w:val="00EF7745"/>
    <w:rsid w:val="00F5510B"/>
    <w:rsid w:val="00FB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67F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ZKomorcec</dc:creator>
  <cp:lastModifiedBy>NETRETIĆ</cp:lastModifiedBy>
  <cp:revision>2</cp:revision>
  <cp:lastPrinted>2014-08-06T08:11:00Z</cp:lastPrinted>
  <dcterms:created xsi:type="dcterms:W3CDTF">2014-08-07T11:05:00Z</dcterms:created>
  <dcterms:modified xsi:type="dcterms:W3CDTF">2014-08-07T11:05:00Z</dcterms:modified>
</cp:coreProperties>
</file>